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60"/>
        </w:tabs>
        <w:spacing w:line="480" w:lineRule="auto"/>
        <w:jc w:val="center"/>
        <w:rPr>
          <w:rFonts w:ascii="Century Schoolbook" w:cs="Century Schoolbook" w:eastAsia="Century Schoolbook" w:hAnsi="Century Schoolbook"/>
          <w:b w:val="1"/>
          <w:bCs w:val="1"/>
          <w:sz w:val="24"/>
          <w:szCs w:val="24"/>
        </w:rPr>
      </w:pPr>
      <w:r w:rsidDel="00000000" w:rsidR="00000000" w:rsidRPr="00000000">
        <w:rPr>
          <w:rFonts w:ascii="Century Schoolbook" w:cs="Century Schoolbook" w:eastAsia="Century Schoolbook" w:hAnsi="Century Schoolbook"/>
          <w:b w:val="1"/>
          <w:bCs w:val="1"/>
          <w:sz w:val="24"/>
          <w:szCs w:val="24"/>
          <w:rtl w:val="0"/>
        </w:rPr>
        <w:t xml:space="preserve">IN THE COURT OF [COURT]</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02">
            <w:pPr>
              <w:widowControl w:val="0"/>
              <w:rPr>
                <w:rFonts w:ascii="Century Schoolbook" w:cs="Century Schoolbook" w:eastAsia="Century Schoolbook" w:hAnsi="Century Schoolbook"/>
                <w:smallCaps w:val="1"/>
                <w:sz w:val="24"/>
                <w:szCs w:val="24"/>
              </w:rPr>
            </w:pPr>
            <w:r w:rsidDel="00000000" w:rsidR="00000000" w:rsidRPr="00000000">
              <w:rPr>
                <w:rFonts w:ascii="Century Schoolbook" w:cs="Century Schoolbook" w:eastAsia="Century Schoolbook" w:hAnsi="Century Schoolbook"/>
                <w:sz w:val="24"/>
                <w:szCs w:val="24"/>
                <w:rtl w:val="0"/>
              </w:rPr>
              <w:t xml:space="preserve">[PARTY], </w:t>
            </w:r>
            <w:r w:rsidDel="00000000" w:rsidR="00000000" w:rsidRPr="00000000">
              <w:rPr>
                <w:rtl w:val="0"/>
              </w:rPr>
            </w:r>
          </w:p>
          <w:p w:rsidR="00000000" w:rsidDel="00000000" w:rsidP="00000000" w:rsidRDefault="00000000" w:rsidRPr="00000000" w14:paraId="00000003">
            <w:pPr>
              <w:widowControl w:val="0"/>
              <w:tabs>
                <w:tab w:val="left" w:leader="none" w:pos="727"/>
              </w:tabs>
              <w:jc w:val="both"/>
              <w:rPr>
                <w:rFonts w:ascii="Century Schoolbook" w:cs="Century Schoolbook" w:eastAsia="Century Schoolbook" w:hAnsi="Century Schoolbook"/>
                <w:smallCaps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727"/>
              </w:tabs>
              <w:ind w:left="141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Plaintiff,</w:t>
            </w:r>
          </w:p>
          <w:p w:rsidR="00000000" w:rsidDel="00000000" w:rsidP="00000000" w:rsidRDefault="00000000" w:rsidRPr="00000000" w14:paraId="00000005">
            <w:pPr>
              <w:widowControl w:val="0"/>
              <w:tabs>
                <w:tab w:val="left" w:leader="none" w:pos="727"/>
              </w:tabs>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727"/>
              </w:tabs>
              <w:ind w:left="690" w:firstLine="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v.</w:t>
            </w:r>
          </w:p>
          <w:p w:rsidR="00000000" w:rsidDel="00000000" w:rsidP="00000000" w:rsidRDefault="00000000" w:rsidRPr="00000000" w14:paraId="00000007">
            <w:pPr>
              <w:widowControl w:val="0"/>
              <w:tabs>
                <w:tab w:val="left" w:leader="none" w:pos="727"/>
              </w:tabs>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727"/>
              </w:tabs>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mallCaps w:val="1"/>
                <w:sz w:val="24"/>
                <w:szCs w:val="24"/>
                <w:rtl w:val="0"/>
              </w:rPr>
              <w:t xml:space="preserve">[PARTY]</w:t>
            </w:r>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09">
            <w:pPr>
              <w:widowControl w:val="0"/>
              <w:tabs>
                <w:tab w:val="left" w:leader="none" w:pos="727"/>
              </w:tabs>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0A">
            <w:pPr>
              <w:widowControl w:val="0"/>
              <w:ind w:left="1410" w:firstLine="0"/>
              <w:jc w:val="both"/>
              <w:rPr>
                <w:rFonts w:ascii="Century Schoolbook" w:cs="Century Schoolbook" w:eastAsia="Century Schoolbook" w:hAnsi="Century Schoolbook"/>
                <w:b w:val="1"/>
                <w:bCs w:val="1"/>
                <w:sz w:val="24"/>
                <w:szCs w:val="24"/>
                <w:u w:val="single"/>
              </w:rPr>
            </w:pPr>
            <w:r w:rsidDel="00000000" w:rsidR="00000000" w:rsidRPr="00000000">
              <w:rPr>
                <w:rFonts w:ascii="Century Schoolbook" w:cs="Century Schoolbook" w:eastAsia="Century Schoolbook" w:hAnsi="Century Schoolbook"/>
                <w:sz w:val="24"/>
                <w:szCs w:val="24"/>
                <w:rtl w:val="0"/>
              </w:rPr>
              <w:t xml:space="preserve">Defendant.</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0B">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0C">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0D">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0E">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0F">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10">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Case No.</w:t>
            </w:r>
            <w:r w:rsidDel="00000000" w:rsidR="00000000" w:rsidRPr="00000000">
              <w:rPr>
                <w:rtl w:val="0"/>
              </w:rPr>
            </w:r>
          </w:p>
          <w:p w:rsidR="00000000" w:rsidDel="00000000" w:rsidP="00000000" w:rsidRDefault="00000000" w:rsidRPr="00000000" w14:paraId="00000011">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12">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13">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14">
            <w:pPr>
              <w:jc w:val="center"/>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15">
            <w:pPr>
              <w:rPr>
                <w:rFonts w:ascii="Century Schoolbook" w:cs="Century Schoolbook" w:eastAsia="Century Schoolbook" w:hAnsi="Century Schoolbook"/>
                <w:b w:val="1"/>
                <w:bCs w:val="1"/>
                <w:sz w:val="24"/>
                <w:szCs w:val="24"/>
                <w:u w:val="single"/>
              </w:rPr>
            </w:pPr>
            <w:r w:rsidDel="00000000" w:rsidR="00000000" w:rsidRPr="00000000">
              <w:rPr>
                <w:rFonts w:ascii="Century Schoolbook" w:cs="Century Schoolbook" w:eastAsia="Century Schoolbook" w:hAnsi="Century Schoolbook"/>
                <w:b w:val="1"/>
                <w:bCs w:val="1"/>
                <w:sz w:val="24"/>
                <w:szCs w:val="24"/>
                <w:u w:val="single"/>
                <w:rtl w:val="0"/>
              </w:rPr>
              <w:t xml:space="preserve"> </w:t>
            </w:r>
          </w:p>
        </w:tc>
      </w:tr>
    </w:tbl>
    <w:p w:rsidR="00000000" w:rsidDel="00000000" w:rsidP="00000000" w:rsidRDefault="00000000" w:rsidRPr="00000000" w14:paraId="00000016">
      <w:pPr>
        <w:spacing w:line="240" w:lineRule="auto"/>
        <w:rPr>
          <w:rFonts w:ascii="Century Schoolbook" w:cs="Century Schoolbook" w:eastAsia="Century Schoolbook" w:hAnsi="Century Schoolbook"/>
          <w:b w:val="1"/>
          <w:bCs w:val="1"/>
          <w:sz w:val="24"/>
          <w:szCs w:val="24"/>
          <w:u w:val="single"/>
        </w:rPr>
      </w:pPr>
      <w:r w:rsidDel="00000000" w:rsidR="00000000" w:rsidRPr="00000000">
        <w:rPr>
          <w:rtl w:val="0"/>
        </w:rPr>
      </w:r>
    </w:p>
    <w:p w:rsidR="00000000" w:rsidDel="00000000" w:rsidP="00000000" w:rsidRDefault="00000000" w:rsidRPr="00000000" w14:paraId="00000017">
      <w:pPr>
        <w:spacing w:line="480" w:lineRule="auto"/>
        <w:jc w:val="center"/>
        <w:rPr>
          <w:rFonts w:ascii="Century Schoolbook" w:cs="Century Schoolbook" w:eastAsia="Century Schoolbook" w:hAnsi="Century Schoolbook"/>
          <w:b w:val="1"/>
          <w:bCs w:val="1"/>
          <w:i w:val="1"/>
          <w:iCs w:val="1"/>
          <w:sz w:val="24"/>
          <w:szCs w:val="24"/>
          <w:u w:val="single"/>
        </w:rPr>
      </w:pPr>
      <w:r w:rsidDel="00000000" w:rsidR="00000000" w:rsidRPr="00000000">
        <w:rPr>
          <w:rFonts w:ascii="Century Schoolbook" w:cs="Century Schoolbook" w:eastAsia="Century Schoolbook" w:hAnsi="Century Schoolbook"/>
          <w:b w:val="1"/>
          <w:bCs w:val="1"/>
          <w:sz w:val="24"/>
          <w:szCs w:val="24"/>
          <w:u w:val="single"/>
          <w:rtl w:val="0"/>
        </w:rPr>
        <w:t xml:space="preserve">ORDER APPOINTING [ROLE TITLE]</w:t>
      </w:r>
      <w:r w:rsidDel="00000000" w:rsidR="00000000" w:rsidRPr="00000000">
        <w:rPr>
          <w:rtl w:val="0"/>
        </w:rPr>
      </w:r>
    </w:p>
    <w:p w:rsidR="00000000" w:rsidDel="00000000" w:rsidP="00000000" w:rsidRDefault="00000000" w:rsidRPr="00000000" w14:paraId="00000018">
      <w:pPr>
        <w:widowControl w:val="0"/>
        <w:spacing w:line="480" w:lineRule="auto"/>
        <w:ind w:firstLine="72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WHEREAS, the Court has determined that the parties and the Court will benefit from the appointment of an independent court-appointed neutral to assist with discovery in this litigation; </w:t>
      </w:r>
    </w:p>
    <w:p w:rsidR="00000000" w:rsidDel="00000000" w:rsidP="00000000" w:rsidRDefault="00000000" w:rsidRPr="00000000" w14:paraId="00000019">
      <w:pPr>
        <w:spacing w:line="480" w:lineRule="auto"/>
        <w:ind w:firstLine="72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bCs w:val="1"/>
          <w:sz w:val="24"/>
          <w:szCs w:val="24"/>
          <w:rtl w:val="0"/>
        </w:rPr>
        <w:t xml:space="preserve">IT IS HEREBY ORDERED</w:t>
      </w:r>
      <w:r w:rsidDel="00000000" w:rsidR="00000000" w:rsidRPr="00000000">
        <w:rPr>
          <w:rFonts w:ascii="Century Schoolbook" w:cs="Century Schoolbook" w:eastAsia="Century Schoolbook" w:hAnsi="Century Schoolbook"/>
          <w:sz w:val="24"/>
          <w:szCs w:val="24"/>
          <w:rtl w:val="0"/>
        </w:rPr>
        <w:t xml:space="preserve">:</w:t>
      </w:r>
    </w:p>
    <w:p w:rsidR="00000000" w:rsidDel="00000000" w:rsidP="00000000" w:rsidRDefault="00000000" w:rsidRPr="00000000" w14:paraId="0000001A">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APPOINTMENT OF DISCOVERY NEUTRAL</w:t>
      </w:r>
      <w:r w:rsidDel="00000000" w:rsidR="00000000" w:rsidRPr="00000000">
        <w:rPr>
          <w:rFonts w:ascii="Century Schoolbook" w:cs="Century Schoolbook" w:eastAsia="Century Schoolbook" w:hAnsi="Century Schoolbook"/>
          <w:sz w:val="24"/>
          <w:szCs w:val="24"/>
          <w:rtl w:val="0"/>
        </w:rPr>
        <w:t xml:space="preserve">. Tara Emory of Aligned Discovery is hereby appointed as the [ROLE TITLE, </w:t>
      </w:r>
      <w:r w:rsidDel="00000000" w:rsidR="00000000" w:rsidRPr="00000000">
        <w:rPr>
          <w:rFonts w:ascii="Century Schoolbook" w:cs="Century Schoolbook" w:eastAsia="Century Schoolbook" w:hAnsi="Century Schoolbook"/>
          <w:i w:val="1"/>
          <w:iCs w:val="1"/>
          <w:sz w:val="24"/>
          <w:szCs w:val="24"/>
          <w:rtl w:val="0"/>
        </w:rPr>
        <w:t xml:space="preserve">e.g. Discovery Facilitator; Discovery Special Magistrate</w:t>
      </w:r>
      <w:r w:rsidDel="00000000" w:rsidR="00000000" w:rsidRPr="00000000">
        <w:rPr>
          <w:rFonts w:ascii="Century Schoolbook" w:cs="Century Schoolbook" w:eastAsia="Century Schoolbook" w:hAnsi="Century Schoolbook"/>
          <w:sz w:val="24"/>
          <w:szCs w:val="24"/>
          <w:rtl w:val="0"/>
        </w:rPr>
        <w:t xml:space="preserve">] (“Discovery Court-Appointed Neutral”) for this action. The Discovery Court-Appointed Neutral shall file in this Court a written acceptance of this appointment, and the appointment shall be effective upon the filing of the acceptance. The Discovery Court-Appointed Neutral shall serve at the pleasure of the Court, and the provisions of this order shall remain in effect pending further order of the Court.</w:t>
      </w:r>
    </w:p>
    <w:p w:rsidR="00000000" w:rsidDel="00000000" w:rsidP="00000000" w:rsidRDefault="00000000" w:rsidRPr="00000000" w14:paraId="0000001B">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CHARGE</w:t>
      </w:r>
      <w:r w:rsidDel="00000000" w:rsidR="00000000" w:rsidRPr="00000000">
        <w:rPr>
          <w:rFonts w:ascii="Century Schoolbook" w:cs="Century Schoolbook" w:eastAsia="Century Schoolbook" w:hAnsi="Century Schoolbook"/>
          <w:sz w:val="24"/>
          <w:szCs w:val="24"/>
          <w:rtl w:val="0"/>
        </w:rPr>
        <w:t xml:space="preserve">. The Discovery Court-Appointed Neutral shall take the following actions: </w:t>
      </w:r>
    </w:p>
    <w:p w:rsidR="00000000" w:rsidDel="00000000" w:rsidP="00000000" w:rsidRDefault="00000000" w:rsidRPr="00000000" w14:paraId="0000001C">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After reviewing the record regarding the discovery conducted to date, including existing discovery-related agreements or stipulations, the Discovery Court-Appointed Neutral shall meet with the parties to determine what discovery still needs to occur.</w:t>
      </w:r>
    </w:p>
    <w:p w:rsidR="00000000" w:rsidDel="00000000" w:rsidP="00000000" w:rsidRDefault="00000000" w:rsidRPr="00000000" w14:paraId="0000001D">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t>
      </w:r>
      <w:r w:rsidDel="00000000" w:rsidR="00000000" w:rsidRPr="00000000">
        <w:rPr>
          <w:rFonts w:ascii="Century Schoolbook" w:cs="Century Schoolbook" w:eastAsia="Century Schoolbook" w:hAnsi="Century Schoolbook"/>
          <w:i w:val="1"/>
          <w:iCs w:val="1"/>
          <w:sz w:val="24"/>
          <w:szCs w:val="24"/>
          <w:rtl w:val="0"/>
        </w:rPr>
        <w:t xml:space="preserve">Option</w:t>
      </w:r>
      <w:r w:rsidDel="00000000" w:rsidR="00000000" w:rsidRPr="00000000">
        <w:rPr>
          <w:rFonts w:ascii="Century Schoolbook" w:cs="Century Schoolbook" w:eastAsia="Century Schoolbook" w:hAnsi="Century Schoolbook"/>
          <w:sz w:val="24"/>
          <w:szCs w:val="24"/>
          <w:rtl w:val="0"/>
        </w:rPr>
        <w:t xml:space="preserve">: Discovery Plan: </w:t>
      </w:r>
    </w:p>
    <w:p w:rsidR="00000000" w:rsidDel="00000000" w:rsidP="00000000" w:rsidRDefault="00000000" w:rsidRPr="00000000" w14:paraId="0000001E">
      <w:pPr>
        <w:numPr>
          <w:ilvl w:val="3"/>
          <w:numId w:val="1"/>
        </w:numPr>
        <w:spacing w:line="480" w:lineRule="auto"/>
        <w:ind w:left="324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Court-Appointed Neutral will assist the parties in developing a detailed discovery plan (hereinafter, the "Discovery Plan"). </w:t>
      </w:r>
    </w:p>
    <w:p w:rsidR="00000000" w:rsidDel="00000000" w:rsidP="00000000" w:rsidRDefault="00000000" w:rsidRPr="00000000" w14:paraId="0000001F">
      <w:pPr>
        <w:numPr>
          <w:ilvl w:val="3"/>
          <w:numId w:val="1"/>
        </w:numPr>
        <w:spacing w:line="480" w:lineRule="auto"/>
        <w:ind w:left="324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shall present the Discovery Plan to the Court in the form of a recommendation that can be implemented by the Court as an order. </w:t>
      </w:r>
    </w:p>
    <w:p w:rsidR="00000000" w:rsidDel="00000000" w:rsidP="00000000" w:rsidRDefault="00000000" w:rsidRPr="00000000" w14:paraId="00000020">
      <w:pPr>
        <w:numPr>
          <w:ilvl w:val="3"/>
          <w:numId w:val="1"/>
        </w:numPr>
        <w:spacing w:line="480" w:lineRule="auto"/>
        <w:ind w:left="324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shall monitor the parties' compliance with the Discovery Plan.]</w:t>
      </w:r>
    </w:p>
    <w:p w:rsidR="00000000" w:rsidDel="00000000" w:rsidP="00000000" w:rsidRDefault="00000000" w:rsidRPr="00000000" w14:paraId="00000021">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shall attempt to facilitate a resolution of outstanding disputes over search terms, hit reports, and additional productions. </w:t>
      </w:r>
    </w:p>
    <w:p w:rsidR="00000000" w:rsidDel="00000000" w:rsidP="00000000" w:rsidRDefault="00000000" w:rsidRPr="00000000" w14:paraId="00000022">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shall monitor the parties' compliance with discovery obligations and attempt to resolve any discovery disputes raised by and between the parties relating to the discovery process, including, but not limited to, disputes concerning any production of documents produced or responses to interrogatories.</w:t>
      </w:r>
    </w:p>
    <w:p w:rsidR="00000000" w:rsidDel="00000000" w:rsidP="00000000" w:rsidRDefault="00000000" w:rsidRPr="00000000" w14:paraId="00000023">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SPECIFIC POWERS AND AUTHORITY. The Discovery Court-Appointed Neutral has the power and authority necessary to fulfill the charge set forth in this order. The Discovery Court-Appointed Neutral’s specific authority includes the following: </w:t>
      </w:r>
    </w:p>
    <w:p w:rsidR="00000000" w:rsidDel="00000000" w:rsidP="00000000" w:rsidRDefault="00000000" w:rsidRPr="00000000" w14:paraId="00000024">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has authority to make recommendations to the Court regarding any disputes that require judicial resolution. </w:t>
      </w:r>
    </w:p>
    <w:p w:rsidR="00000000" w:rsidDel="00000000" w:rsidP="00000000" w:rsidRDefault="00000000" w:rsidRPr="00000000" w14:paraId="00000025">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has authority to communicate with the parties jointly or separately.</w:t>
      </w:r>
    </w:p>
    <w:p w:rsidR="00000000" w:rsidDel="00000000" w:rsidP="00000000" w:rsidRDefault="00000000" w:rsidRPr="00000000" w14:paraId="00000026">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has authority to convene meetings of the parties for the purpose of addressing discovery issues. Unless the Discovery Court-Appointed Neutral directs otherwise, the parties must (i) serve a copy of any discovery request or response on the Discovery Court-Appointed Neutral, (ii) include the Discovery Court-Appointed Neutral on any substantive correspondence including email relating to discovery, and (iii) include the Discovery Court-Appointed Neutral in any meet-and-confer sessions regarding discovery issues. After meet-and-confer sessions regarding discovery issues, the Discovery Court-Appointed Neutral –and not the parties– shall document any agreements reached by the parties.</w:t>
      </w:r>
    </w:p>
    <w:p w:rsidR="00000000" w:rsidDel="00000000" w:rsidP="00000000" w:rsidRDefault="00000000" w:rsidRPr="00000000" w14:paraId="00000027">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has authority to require the parties to provide information regarding discovery issues, whether or not such information has been requested by other parties, which the Discovery Court-Appointed Neutral may require to be exchanged by the parties or provided for her confidential use. The discovery-related information that the Discovery Court-Appointed Neutral has authority to require includes, but is not limited to, (i) the name and, if known, the address of individuals likely to have discoverable information, (ii) the subjects of that information, (iii) the sources of that information, and (iv) any information helpful to assessing the proportionality of discovery. Additional ESI-related information that the Discovery Court-Appointed Neutral has authority to require includes, but is not limited to, hit reports and case analytics. </w:t>
      </w:r>
    </w:p>
    <w:p w:rsidR="00000000" w:rsidDel="00000000" w:rsidP="00000000" w:rsidRDefault="00000000" w:rsidRPr="00000000" w14:paraId="00000028">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has authority to file written recommendations to the Court in connection with any dispute raised with the Court by the parties or otherwise warranting judicial resolution.</w:t>
      </w:r>
    </w:p>
    <w:p w:rsidR="00000000" w:rsidDel="00000000" w:rsidP="00000000" w:rsidRDefault="00000000" w:rsidRPr="00000000" w14:paraId="00000029">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has authority to consult with the Court ex parte (without the participation of the parties). </w:t>
      </w:r>
    </w:p>
    <w:p w:rsidR="00000000" w:rsidDel="00000000" w:rsidP="00000000" w:rsidRDefault="00000000" w:rsidRPr="00000000" w14:paraId="0000002A">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Compensation of the Discovery Court-Appointed Neutral</w:t>
      </w:r>
      <w:r w:rsidDel="00000000" w:rsidR="00000000" w:rsidRPr="00000000">
        <w:rPr>
          <w:rFonts w:ascii="Century Schoolbook" w:cs="Century Schoolbook" w:eastAsia="Century Schoolbook" w:hAnsi="Century Schoolbook"/>
          <w:sz w:val="24"/>
          <w:szCs w:val="24"/>
          <w:rtl w:val="0"/>
        </w:rPr>
        <w:t xml:space="preserve">. The parties shall pay the reasonable compensation and reasonable expenses of the Discovery Court-Appointed Neutral. </w:t>
      </w:r>
    </w:p>
    <w:p w:rsidR="00000000" w:rsidDel="00000000" w:rsidP="00000000" w:rsidRDefault="00000000" w:rsidRPr="00000000" w14:paraId="0000002B">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Discovery Court-Appointed Neutral may bill at her customary hourly rate. The Discovery Court-Appointed Neutral may make use of associates and support staff and bill for their time at their customary hourly rates. Unless the context requires otherwise, all references in this order to the Discovery Court-Appointed Neutral incorporate individuals on which the Discovery Court-Appointed Neutral relies, including associates and employed or contracted support staff, experts and professionals. </w:t>
      </w:r>
    </w:p>
    <w:p w:rsidR="00000000" w:rsidDel="00000000" w:rsidP="00000000" w:rsidRDefault="00000000" w:rsidRPr="00000000" w14:paraId="0000002C">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Within five days after accepting the appointment, the Discovery Court-Appointed Neutral must share the terms of their engagement with the parties by letter. The parties must raise any objection to the Discovery Court-Appointed Neutral’s hourly rates or other terms of the engagement with the Court within five days after receipt of the letter. </w:t>
      </w:r>
    </w:p>
    <w:p w:rsidR="00000000" w:rsidDel="00000000" w:rsidP="00000000" w:rsidRDefault="00000000" w:rsidRPr="00000000" w14:paraId="0000002D">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plaintiff shall be responsible for paying fifty percent of the total compensation and expenses; and the defendant shall be responsible for paying fifty percent of the total compensation and expenses, unless the Court orders otherwise. The Discovery Court-Appointed Neutral may recommend a different allocation in light of factors that the Discovery Court-Appointed Neutral deems pertinent and explains to the Court, including the extent to which the parties have cooperated during the discovery process. The Discovery Court-Appointed Neutral may recommend a different allocation as to a specific issue or all issues. The parties shall make timely payment of their 50% share of invoices, regardless of the possibility of a later order of a different allocation.</w:t>
      </w:r>
    </w:p>
    <w:p w:rsidR="00000000" w:rsidDel="00000000" w:rsidP="00000000" w:rsidRDefault="00000000" w:rsidRPr="00000000" w14:paraId="0000002E">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PROCEDURES FOR PAYMENT</w:t>
      </w:r>
      <w:r w:rsidDel="00000000" w:rsidR="00000000" w:rsidRPr="00000000">
        <w:rPr>
          <w:rtl w:val="0"/>
        </w:rPr>
      </w:r>
    </w:p>
    <w:p w:rsidR="00000000" w:rsidDel="00000000" w:rsidP="00000000" w:rsidRDefault="00000000" w:rsidRPr="00000000" w14:paraId="0000002F">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The parties shall provide the Discovery Court-Appointed Neutral with a retainer of $[x], with each side paying half. </w:t>
      </w:r>
    </w:p>
    <w:p w:rsidR="00000000" w:rsidDel="00000000" w:rsidP="00000000" w:rsidRDefault="00000000" w:rsidRPr="00000000" w14:paraId="00000030">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On a monthly basis, the Discovery Court-Appointed Neutral will submit invoices to the parties and deduct the amount charged from the retainer. When the retainer has been exhausted, the parties must replace the retainer. </w:t>
      </w:r>
    </w:p>
    <w:p w:rsidR="00000000" w:rsidDel="00000000" w:rsidP="00000000" w:rsidRDefault="00000000" w:rsidRPr="00000000" w14:paraId="00000031">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After fulfilling the charge, the Discovery Court-Appointed Neutral shall petition the Court for a final approval of fees and expenses paid. If the Court declines to approve any amount paid by the parties, then the Discovery Court-Appointed Neutral shall refund those amounts to the parties. </w:t>
      </w:r>
    </w:p>
    <w:p w:rsidR="00000000" w:rsidDel="00000000" w:rsidP="00000000" w:rsidRDefault="00000000" w:rsidRPr="00000000" w14:paraId="00000032">
      <w:pPr>
        <w:numPr>
          <w:ilvl w:val="1"/>
          <w:numId w:val="1"/>
        </w:numPr>
        <w:spacing w:line="480" w:lineRule="auto"/>
        <w:ind w:left="25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t>
      </w:r>
      <w:r w:rsidDel="00000000" w:rsidR="00000000" w:rsidRPr="00000000">
        <w:rPr>
          <w:rFonts w:ascii="Century Schoolbook" w:cs="Century Schoolbook" w:eastAsia="Century Schoolbook" w:hAnsi="Century Schoolbook"/>
          <w:i w:val="1"/>
          <w:iCs w:val="1"/>
          <w:sz w:val="24"/>
          <w:szCs w:val="24"/>
          <w:rtl w:val="0"/>
        </w:rPr>
        <w:t xml:space="preserve">Delaware Chancery</w:t>
      </w:r>
      <w:r w:rsidDel="00000000" w:rsidR="00000000" w:rsidRPr="00000000">
        <w:rPr>
          <w:rFonts w:ascii="Century Schoolbook" w:cs="Century Schoolbook" w:eastAsia="Century Schoolbook" w:hAnsi="Century Schoolbook"/>
          <w:sz w:val="24"/>
          <w:szCs w:val="24"/>
          <w:rtl w:val="0"/>
        </w:rPr>
        <w:t xml:space="preserve">:] Any approved amounts that the parties fail to pay may be taxed to the parties and their counsel as court costs and billed to counsel to the parties through the court's e-filing system. Non-payment of amounts billed to counsel as court costs may result in counsel being unable to make filings using the court's e- filing. Counsel are responsible for making suitable arrangements with their clients to avoid counsel becoming subject to those potential consequences. </w:t>
      </w:r>
    </w:p>
    <w:p w:rsidR="00000000" w:rsidDel="00000000" w:rsidP="00000000" w:rsidRDefault="00000000" w:rsidRPr="00000000" w14:paraId="00000033">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COOPERATION</w:t>
      </w:r>
      <w:r w:rsidDel="00000000" w:rsidR="00000000" w:rsidRPr="00000000">
        <w:rPr>
          <w:rFonts w:ascii="Century Schoolbook" w:cs="Century Schoolbook" w:eastAsia="Century Schoolbook" w:hAnsi="Century Schoolbook"/>
          <w:sz w:val="24"/>
          <w:szCs w:val="24"/>
          <w:rtl w:val="0"/>
        </w:rPr>
        <w:t xml:space="preserve">.  The parties and their managers, members, assignees, directors, officers, employees, attorneys, and agents shall cooperate with the Discovery Court-Appointed Neutral in the performance of her duties.</w:t>
      </w:r>
    </w:p>
    <w:p w:rsidR="00000000" w:rsidDel="00000000" w:rsidP="00000000" w:rsidRDefault="00000000" w:rsidRPr="00000000" w14:paraId="00000034">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EXCLUSIVE FORUM</w:t>
      </w:r>
      <w:r w:rsidDel="00000000" w:rsidR="00000000" w:rsidRPr="00000000">
        <w:rPr>
          <w:rFonts w:ascii="Century Schoolbook" w:cs="Century Schoolbook" w:eastAsia="Century Schoolbook" w:hAnsi="Century Schoolbook"/>
          <w:sz w:val="24"/>
          <w:szCs w:val="24"/>
          <w:rtl w:val="0"/>
        </w:rPr>
        <w:t xml:space="preserve">. No party to this action, and no other person acting or purporting to act as a manager, member, assignee, director, officer, employee, attorney, or agent of a party, shall institute any proceeding in any forum other than this Court challenging any action or recommendation by the Discovery Court-Appointed Neutral.</w:t>
      </w:r>
    </w:p>
    <w:p w:rsidR="00000000" w:rsidDel="00000000" w:rsidP="00000000" w:rsidRDefault="00000000" w:rsidRPr="00000000" w14:paraId="00000035">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u w:val="single"/>
          <w:rtl w:val="0"/>
        </w:rPr>
        <w:t xml:space="preserve">EXCULPATION, INDEMNIFICATION, AND </w:t>
      </w:r>
      <w:r w:rsidDel="00000000" w:rsidR="00000000" w:rsidRPr="00000000">
        <w:rPr>
          <w:rFonts w:ascii="Century Schoolbook" w:cs="Century Schoolbook" w:eastAsia="Century Schoolbook" w:hAnsi="Century Schoolbook"/>
          <w:color w:val="424242"/>
          <w:sz w:val="24"/>
          <w:szCs w:val="24"/>
          <w:u w:val="single"/>
          <w:rtl w:val="0"/>
        </w:rPr>
        <w:t xml:space="preserve">ADVANCEMENT</w:t>
      </w:r>
      <w:r w:rsidDel="00000000" w:rsidR="00000000" w:rsidRPr="00000000">
        <w:rPr>
          <w:rFonts w:ascii="Century Schoolbook" w:cs="Century Schoolbook" w:eastAsia="Century Schoolbook" w:hAnsi="Century Schoolbook"/>
          <w:color w:val="424242"/>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The Discovery Court-Appointed Neutral shall have no liability to the parties or any other person for actions taken in good faith pursuant to this order. In any challenge to the Discovery Court-Appointed Neutral's actions, the Discovery Court-Appointed Neutral is presumed to have acted in good faith. The Discovery Court-Appointed Neutral shall be entitled to all protection, limitation from liability, and immunity available at law or in equity to a Court-appointed Discovery Court-Appointed Neutral including, without limitation, all protection, limitation from liability, and immunity provided by the indemnification provisions of applicable law. Expenses, including attorneys' fees, incurred by the Discovery Court-Appointed Neutral in defending any civil, criminal, administrative, or investigative action, suit, or proceeding arising by reason of or in connection with the Discovery Court-Appointed Neutral's appointment, or the performance of her duties hereunder, shall be paid by the parties, jointly and severally, in advance of the final disposition of such action, suit, or proceeding, subject to the repayment of such amount if it shall be ultimately determined by this Court that the Discovery Court-Appointed Neutral is not entitled to be indemnified by the parties under applicable law.</w:t>
      </w:r>
    </w:p>
    <w:p w:rsidR="00000000" w:rsidDel="00000000" w:rsidP="00000000" w:rsidRDefault="00000000" w:rsidRPr="00000000" w14:paraId="00000036">
      <w:pPr>
        <w:numPr>
          <w:ilvl w:val="0"/>
          <w:numId w:val="1"/>
        </w:numPr>
        <w:spacing w:line="480" w:lineRule="auto"/>
        <w:ind w:left="2160" w:hanging="144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t>
      </w:r>
      <w:r w:rsidDel="00000000" w:rsidR="00000000" w:rsidRPr="00000000">
        <w:rPr>
          <w:rFonts w:ascii="Century Schoolbook" w:cs="Century Schoolbook" w:eastAsia="Century Schoolbook" w:hAnsi="Century Schoolbook"/>
          <w:i w:val="1"/>
          <w:iCs w:val="1"/>
          <w:sz w:val="24"/>
          <w:szCs w:val="24"/>
          <w:rtl w:val="0"/>
        </w:rPr>
        <w:t xml:space="preserve">If charges exist for court filing, e.g. Delaware Chancery</w:t>
      </w:r>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Fonts w:ascii="Century Schoolbook" w:cs="Century Schoolbook" w:eastAsia="Century Schoolbook" w:hAnsi="Century Schoolbook"/>
          <w:sz w:val="24"/>
          <w:szCs w:val="24"/>
          <w:u w:val="single"/>
          <w:rtl w:val="0"/>
        </w:rPr>
        <w:t xml:space="preserve">ACCESS AND FILING</w:t>
      </w:r>
      <w:r w:rsidDel="00000000" w:rsidR="00000000" w:rsidRPr="00000000">
        <w:rPr>
          <w:rFonts w:ascii="Century Schoolbook" w:cs="Century Schoolbook" w:eastAsia="Century Schoolbook" w:hAnsi="Century Schoolbook"/>
          <w:sz w:val="24"/>
          <w:szCs w:val="24"/>
          <w:rtl w:val="0"/>
        </w:rPr>
        <w:t xml:space="preserve">. The [Filing Service] shall add the Discovery Court-Appointed Neutral to the list of parties who can file and access documents in this case. The Discovery Court-Appointed Neutral may file and access documents without charge.]</w:t>
      </w:r>
    </w:p>
    <w:p w:rsidR="00000000" w:rsidDel="00000000" w:rsidP="00000000" w:rsidRDefault="00000000" w:rsidRPr="00000000" w14:paraId="00000037">
      <w:pPr>
        <w:spacing w:line="240" w:lineRule="auto"/>
        <w:ind w:left="4320" w:firstLine="720"/>
        <w:rPr>
          <w:rFonts w:ascii="Century Schoolbook" w:cs="Century Schoolbook" w:eastAsia="Century Schoolbook" w:hAnsi="Century Schoolbook"/>
          <w:sz w:val="24"/>
          <w:szCs w:val="24"/>
          <w:u w:val="single"/>
        </w:rPr>
      </w:pPr>
      <w:r w:rsidDel="00000000" w:rsidR="00000000" w:rsidRPr="00000000">
        <w:rPr>
          <w:rFonts w:ascii="Century Schoolbook" w:cs="Century Schoolbook" w:eastAsia="Century Schoolbook" w:hAnsi="Century Schoolbook"/>
          <w:i w:val="1"/>
          <w:iCs w:val="1"/>
          <w:sz w:val="24"/>
          <w:szCs w:val="24"/>
          <w:u w:val="single"/>
          <w:rtl w:val="0"/>
        </w:rPr>
        <w:tab/>
        <w:tab/>
      </w:r>
      <w:r w:rsidDel="00000000" w:rsidR="00000000" w:rsidRPr="00000000">
        <w:rPr>
          <w:rtl w:val="0"/>
        </w:rPr>
      </w:r>
    </w:p>
    <w:p w:rsidR="00000000" w:rsidDel="00000000" w:rsidP="00000000" w:rsidRDefault="00000000" w:rsidRPr="00000000" w14:paraId="00000038">
      <w:pPr>
        <w:spacing w:line="24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ab/>
        <w:tab/>
        <w:tab/>
        <w:tab/>
        <w:tab/>
        <w:tab/>
        <w:t xml:space="preserve">[JUDGE]</w:t>
      </w:r>
    </w:p>
    <w:p w:rsidR="00000000" w:rsidDel="00000000" w:rsidP="00000000" w:rsidRDefault="00000000" w:rsidRPr="00000000" w14:paraId="00000039">
      <w:pPr>
        <w:spacing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A">
      <w:pPr>
        <w:spacing w:line="24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Dated: [DATE]</w:t>
      </w:r>
    </w:p>
    <w:p w:rsidR="00000000" w:rsidDel="00000000" w:rsidP="00000000" w:rsidRDefault="00000000" w:rsidRPr="00000000" w14:paraId="0000003B">
      <w:pPr>
        <w:spacing w:line="480" w:lineRule="auto"/>
        <w:ind w:firstLine="720"/>
        <w:jc w:val="both"/>
        <w:rPr>
          <w:rFonts w:ascii="Century Schoolbook" w:cs="Century Schoolbook" w:eastAsia="Century Schoolbook" w:hAnsi="Century Schoolbook"/>
          <w:b w:val="1"/>
          <w:bCs w:val="1"/>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1440"/>
      </w:pPr>
      <w:rPr>
        <w:u w:val="none"/>
      </w:rPr>
    </w:lvl>
    <w:lvl w:ilvl="1">
      <w:start w:val="1"/>
      <w:numFmt w:val="lowerLetter"/>
      <w:lvlText w:val="%2."/>
      <w:lvlJc w:val="left"/>
      <w:pPr>
        <w:ind w:left="252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